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19199" w14:textId="0538C886" w:rsidR="003D07BA" w:rsidRPr="00E36677" w:rsidRDefault="461D6840" w:rsidP="461D6840">
      <w:pPr>
        <w:spacing w:line="0" w:lineRule="atLeast"/>
        <w:jc w:val="center"/>
        <w:rPr>
          <w:rFonts w:ascii="ＭＳ Ｐ明朝" w:eastAsia="ＭＳ Ｐ明朝" w:hAnsi="ＭＳ Ｐ明朝" w:cs="Times New Roman" w:hint="eastAsia"/>
          <w:sz w:val="28"/>
          <w:szCs w:val="28"/>
        </w:rPr>
      </w:pPr>
      <w:r w:rsidRPr="461D6840">
        <w:rPr>
          <w:rFonts w:ascii="ＭＳ Ｐ明朝" w:eastAsia="ＭＳ Ｐ明朝" w:hAnsi="ＭＳ Ｐ明朝" w:cs="Times New Roman"/>
          <w:sz w:val="28"/>
          <w:szCs w:val="28"/>
        </w:rPr>
        <w:t>当薬局の行っているサービス内容について</w:t>
      </w:r>
    </w:p>
    <w:p w14:paraId="148063D3" w14:textId="77777777" w:rsidR="00EC0D80" w:rsidRPr="00E36677" w:rsidRDefault="00EC0D80" w:rsidP="00EC0D80">
      <w:pPr>
        <w:spacing w:line="0" w:lineRule="atLeast"/>
        <w:jc w:val="left"/>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2439"/>
        <w:gridCol w:w="7478"/>
      </w:tblGrid>
      <w:tr w:rsidR="003D07BA" w:rsidRPr="00E36677" w14:paraId="4031D21A" w14:textId="77777777" w:rsidTr="0018360E">
        <w:tc>
          <w:tcPr>
            <w:tcW w:w="9917" w:type="dxa"/>
            <w:gridSpan w:val="2"/>
            <w:shd w:val="clear" w:color="auto" w:fill="E7E6E6" w:themeFill="background2"/>
          </w:tcPr>
          <w:p w14:paraId="3B5B7F5C" w14:textId="6FDEF708" w:rsidR="003D07BA" w:rsidRPr="00E36677" w:rsidRDefault="003D07BA" w:rsidP="00890D95">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調剤基本料に関する事項</w:t>
            </w:r>
          </w:p>
        </w:tc>
      </w:tr>
      <w:tr w:rsidR="003D07BA" w:rsidRPr="00E36677" w14:paraId="105CF2F3" w14:textId="77777777" w:rsidTr="00E36677">
        <w:trPr>
          <w:trHeight w:val="442"/>
        </w:trPr>
        <w:tc>
          <w:tcPr>
            <w:tcW w:w="2439" w:type="dxa"/>
            <w:shd w:val="clear" w:color="auto" w:fill="auto"/>
            <w:vAlign w:val="center"/>
          </w:tcPr>
          <w:p w14:paraId="5255F594" w14:textId="30FD713A" w:rsidR="003D07BA" w:rsidRPr="00E36677" w:rsidRDefault="003D07BA" w:rsidP="00890D95">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調剤基本料</w:t>
            </w:r>
            <w:r w:rsidR="00387E14">
              <w:rPr>
                <w:rFonts w:ascii="ＭＳ Ｐ明朝" w:eastAsia="ＭＳ Ｐ明朝" w:hAnsi="ＭＳ Ｐ明朝" w:cs="Times New Roman" w:hint="eastAsia"/>
                <w:szCs w:val="21"/>
              </w:rPr>
              <w:t>１</w:t>
            </w:r>
          </w:p>
        </w:tc>
        <w:tc>
          <w:tcPr>
            <w:tcW w:w="7478" w:type="dxa"/>
            <w:shd w:val="clear" w:color="auto" w:fill="auto"/>
            <w:vAlign w:val="center"/>
          </w:tcPr>
          <w:p w14:paraId="46BB0934" w14:textId="3C59F49B" w:rsidR="003D07BA" w:rsidRPr="00E36677" w:rsidRDefault="003D07BA" w:rsidP="00890D95">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当薬局は調剤基本料</w:t>
            </w:r>
            <w:r w:rsidR="00387E14">
              <w:rPr>
                <w:rFonts w:ascii="ＭＳ Ｐ明朝" w:eastAsia="ＭＳ Ｐ明朝" w:hAnsi="ＭＳ Ｐ明朝" w:cs="Times New Roman" w:hint="eastAsia"/>
                <w:szCs w:val="21"/>
              </w:rPr>
              <w:t>１</w:t>
            </w:r>
            <w:r w:rsidRPr="00E36677">
              <w:rPr>
                <w:rFonts w:ascii="ＭＳ Ｐ明朝" w:eastAsia="ＭＳ Ｐ明朝" w:hAnsi="ＭＳ Ｐ明朝" w:cs="Times New Roman" w:hint="eastAsia"/>
                <w:szCs w:val="21"/>
              </w:rPr>
              <w:t>の施設基準に</w:t>
            </w:r>
            <w:r w:rsidR="00A96F63" w:rsidRPr="00E36677">
              <w:rPr>
                <w:rFonts w:ascii="ＭＳ Ｐ明朝" w:eastAsia="ＭＳ Ｐ明朝" w:hAnsi="ＭＳ Ｐ明朝" w:cs="Times New Roman" w:hint="eastAsia"/>
                <w:szCs w:val="21"/>
              </w:rPr>
              <w:t>適合</w:t>
            </w:r>
            <w:r w:rsidRPr="00E36677">
              <w:rPr>
                <w:rFonts w:ascii="ＭＳ Ｐ明朝" w:eastAsia="ＭＳ Ｐ明朝" w:hAnsi="ＭＳ Ｐ明朝" w:cs="Times New Roman" w:hint="eastAsia"/>
                <w:szCs w:val="21"/>
              </w:rPr>
              <w:t>する薬局です。</w:t>
            </w:r>
          </w:p>
        </w:tc>
      </w:tr>
    </w:tbl>
    <w:p w14:paraId="012DBF99" w14:textId="77777777" w:rsidR="0018360E" w:rsidRPr="00E36677" w:rsidRDefault="0018360E" w:rsidP="003D07BA">
      <w:pPr>
        <w:spacing w:line="0" w:lineRule="atLeast"/>
        <w:rPr>
          <w:rFonts w:ascii="ＭＳ Ｐ明朝" w:eastAsia="ＭＳ Ｐ明朝" w:hAnsi="ＭＳ Ｐ明朝" w:cs="Times New Roman" w:hint="eastAsia"/>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2439"/>
        <w:gridCol w:w="7478"/>
      </w:tblGrid>
      <w:tr w:rsidR="00A96F63" w:rsidRPr="00E36677" w14:paraId="016B69E4" w14:textId="77777777" w:rsidTr="006221A6">
        <w:tc>
          <w:tcPr>
            <w:tcW w:w="9917" w:type="dxa"/>
            <w:gridSpan w:val="2"/>
            <w:shd w:val="clear" w:color="auto" w:fill="E7E6E6" w:themeFill="background2"/>
          </w:tcPr>
          <w:p w14:paraId="13CB82F3" w14:textId="4FAE1B88" w:rsidR="00A96F63" w:rsidRPr="00E36677" w:rsidRDefault="00A96F63"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後発医薬品調剤体制加算に関する事項</w:t>
            </w:r>
          </w:p>
        </w:tc>
      </w:tr>
      <w:tr w:rsidR="00A96F63" w:rsidRPr="00E36677" w14:paraId="380B96F1" w14:textId="77777777" w:rsidTr="00E36677">
        <w:trPr>
          <w:trHeight w:val="753"/>
        </w:trPr>
        <w:tc>
          <w:tcPr>
            <w:tcW w:w="2439" w:type="dxa"/>
            <w:vAlign w:val="center"/>
          </w:tcPr>
          <w:p w14:paraId="3139C11F" w14:textId="77777777" w:rsidR="00A96F63" w:rsidRPr="00E36677" w:rsidRDefault="00A96F63"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後発医薬品</w:t>
            </w:r>
          </w:p>
          <w:p w14:paraId="10C9F97E" w14:textId="0E55D635" w:rsidR="00A96F63" w:rsidRPr="00E36677" w:rsidRDefault="00A96F63"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調剤体制加算</w:t>
            </w:r>
            <w:r w:rsidR="00387E14">
              <w:rPr>
                <w:rFonts w:ascii="ＭＳ Ｐ明朝" w:eastAsia="ＭＳ Ｐ明朝" w:hAnsi="ＭＳ Ｐ明朝" w:cs="Times New Roman" w:hint="eastAsia"/>
                <w:szCs w:val="21"/>
              </w:rPr>
              <w:t>３</w:t>
            </w:r>
          </w:p>
        </w:tc>
        <w:tc>
          <w:tcPr>
            <w:tcW w:w="7478" w:type="dxa"/>
            <w:vAlign w:val="center"/>
          </w:tcPr>
          <w:p w14:paraId="2F7509F4" w14:textId="711F7295" w:rsidR="00A96F63" w:rsidRPr="00E36677" w:rsidRDefault="00A96F63"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後発医薬品調剤体制加算</w:t>
            </w:r>
            <w:r w:rsidR="00387E14">
              <w:rPr>
                <w:rFonts w:ascii="ＭＳ Ｐ明朝" w:eastAsia="ＭＳ Ｐ明朝" w:hAnsi="ＭＳ Ｐ明朝" w:cs="Times New Roman" w:hint="eastAsia"/>
                <w:szCs w:val="21"/>
              </w:rPr>
              <w:t>３</w:t>
            </w:r>
            <w:r w:rsidRPr="00E36677">
              <w:rPr>
                <w:rFonts w:ascii="ＭＳ Ｐ明朝" w:eastAsia="ＭＳ Ｐ明朝" w:hAnsi="ＭＳ Ｐ明朝" w:cs="Times New Roman" w:hint="eastAsia"/>
                <w:szCs w:val="21"/>
              </w:rPr>
              <w:t>の施設基準（直近3か月の後発医薬品の数量割合</w:t>
            </w:r>
            <w:r w:rsidR="00387E14">
              <w:rPr>
                <w:rFonts w:ascii="ＭＳ Ｐ明朝" w:eastAsia="ＭＳ Ｐ明朝" w:hAnsi="ＭＳ Ｐ明朝" w:cs="Times New Roman" w:hint="eastAsia"/>
                <w:szCs w:val="21"/>
              </w:rPr>
              <w:t>90</w:t>
            </w:r>
            <w:r w:rsidRPr="00E36677">
              <w:rPr>
                <w:rFonts w:ascii="ＭＳ Ｐ明朝" w:eastAsia="ＭＳ Ｐ明朝" w:hAnsi="ＭＳ Ｐ明朝" w:cs="Times New Roman" w:hint="eastAsia"/>
                <w:szCs w:val="21"/>
              </w:rPr>
              <w:t>％以上）に適合する薬局です。</w:t>
            </w:r>
          </w:p>
        </w:tc>
      </w:tr>
    </w:tbl>
    <w:p w14:paraId="4260744E" w14:textId="77777777" w:rsidR="0018360E" w:rsidRPr="00E36677" w:rsidRDefault="0018360E" w:rsidP="003D07BA">
      <w:pPr>
        <w:spacing w:line="0" w:lineRule="atLeast"/>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1985"/>
        <w:gridCol w:w="7932"/>
      </w:tblGrid>
      <w:tr w:rsidR="00B05AE2" w:rsidRPr="00E36677" w14:paraId="17008ED1" w14:textId="77777777" w:rsidTr="461D6840">
        <w:tc>
          <w:tcPr>
            <w:tcW w:w="9917" w:type="dxa"/>
            <w:gridSpan w:val="2"/>
            <w:shd w:val="clear" w:color="auto" w:fill="E7E6E6" w:themeFill="background2"/>
          </w:tcPr>
          <w:p w14:paraId="1879E2DA" w14:textId="77777777" w:rsidR="00B05AE2" w:rsidRPr="00E36677" w:rsidRDefault="00B05AE2"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調剤管理料・服薬管理指導料に関する事項</w:t>
            </w:r>
          </w:p>
        </w:tc>
      </w:tr>
      <w:tr w:rsidR="00B05AE2" w:rsidRPr="00E36677" w14:paraId="3BD08AE1" w14:textId="77777777" w:rsidTr="461D6840">
        <w:tc>
          <w:tcPr>
            <w:tcW w:w="1985" w:type="dxa"/>
            <w:vAlign w:val="center"/>
          </w:tcPr>
          <w:p w14:paraId="0B7399F2" w14:textId="77777777" w:rsidR="00B05AE2" w:rsidRPr="00E36677" w:rsidRDefault="00B05AE2"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調剤管理料</w:t>
            </w:r>
          </w:p>
        </w:tc>
        <w:tc>
          <w:tcPr>
            <w:tcW w:w="7932" w:type="dxa"/>
          </w:tcPr>
          <w:p w14:paraId="6CE5829C" w14:textId="17812188" w:rsidR="00B05AE2" w:rsidRPr="00E36677" w:rsidRDefault="461D6840" w:rsidP="461D6840">
            <w:pPr>
              <w:pStyle w:val="a4"/>
              <w:ind w:firstLineChars="92" w:firstLine="193"/>
              <w:rPr>
                <w:rFonts w:ascii="ＭＳ Ｐ明朝" w:eastAsia="ＭＳ Ｐ明朝" w:hAnsi="ＭＳ Ｐ明朝"/>
              </w:rPr>
            </w:pPr>
            <w:r w:rsidRPr="461D6840">
              <w:rPr>
                <w:rFonts w:ascii="ＭＳ Ｐ明朝" w:eastAsia="ＭＳ Ｐ明朝" w:hAnsi="ＭＳ Ｐ明朝"/>
              </w:rPr>
              <w:t>患者さまやご家族等から収集した投薬歴、副作用歴、アレルギー歴、服薬状況等の情報、お薬手帳、医薬品リスク管理計画（RMP）、薬剤服用歴等に基づき、薬学的分析及び評価を行った上で、患者さまごとに薬剤服用歴への記録や必要な薬学的管理を行っています。必要に応じて医師に処方内容の提案を行います。</w:t>
            </w:r>
          </w:p>
        </w:tc>
      </w:tr>
      <w:tr w:rsidR="00B05AE2" w:rsidRPr="00E36677" w14:paraId="357F758A" w14:textId="77777777" w:rsidTr="461D6840">
        <w:tc>
          <w:tcPr>
            <w:tcW w:w="1985" w:type="dxa"/>
            <w:vAlign w:val="center"/>
          </w:tcPr>
          <w:p w14:paraId="4A6CA0B2" w14:textId="77777777" w:rsidR="00B05AE2" w:rsidRPr="00E36677" w:rsidRDefault="00B05AE2" w:rsidP="006221A6">
            <w:pPr>
              <w:pStyle w:val="a4"/>
              <w:rPr>
                <w:rFonts w:ascii="ＭＳ Ｐ明朝" w:eastAsia="ＭＳ Ｐ明朝" w:hAnsi="ＭＳ Ｐ明朝"/>
                <w:szCs w:val="21"/>
              </w:rPr>
            </w:pPr>
            <w:r w:rsidRPr="00E36677">
              <w:rPr>
                <w:rFonts w:ascii="ＭＳ Ｐ明朝" w:eastAsia="ＭＳ Ｐ明朝" w:hAnsi="ＭＳ Ｐ明朝" w:hint="eastAsia"/>
                <w:szCs w:val="21"/>
              </w:rPr>
              <w:t>服薬管理指導料</w:t>
            </w:r>
          </w:p>
        </w:tc>
        <w:tc>
          <w:tcPr>
            <w:tcW w:w="7932" w:type="dxa"/>
          </w:tcPr>
          <w:p w14:paraId="445DA707" w14:textId="77777777" w:rsidR="00B05AE2" w:rsidRPr="00E36677" w:rsidRDefault="00B05AE2" w:rsidP="00612DBC">
            <w:pPr>
              <w:pStyle w:val="a4"/>
              <w:ind w:firstLineChars="92" w:firstLine="193"/>
              <w:rPr>
                <w:rFonts w:ascii="ＭＳ Ｐ明朝" w:eastAsia="ＭＳ Ｐ明朝" w:hAnsi="ＭＳ Ｐ明朝"/>
                <w:szCs w:val="21"/>
              </w:rPr>
            </w:pPr>
            <w:r w:rsidRPr="00E36677">
              <w:rPr>
                <w:rFonts w:ascii="ＭＳ Ｐ明朝" w:eastAsia="ＭＳ Ｐ明朝" w:hAnsi="ＭＳ Ｐ明朝"/>
                <w:szCs w:val="21"/>
              </w:rPr>
              <w:t>患者</w:t>
            </w:r>
            <w:r w:rsidRPr="00E36677">
              <w:rPr>
                <w:rFonts w:ascii="ＭＳ Ｐ明朝" w:eastAsia="ＭＳ Ｐ明朝" w:hAnsi="ＭＳ Ｐ明朝" w:hint="eastAsia"/>
                <w:szCs w:val="21"/>
              </w:rPr>
              <w:t>ご</w:t>
            </w:r>
            <w:r w:rsidRPr="00E36677">
              <w:rPr>
                <w:rFonts w:ascii="ＭＳ Ｐ明朝" w:eastAsia="ＭＳ Ｐ明朝" w:hAnsi="ＭＳ Ｐ明朝"/>
                <w:szCs w:val="21"/>
              </w:rPr>
              <w:t>とに作成した薬剤服用歴等に基</w:t>
            </w:r>
            <w:r w:rsidRPr="00E36677">
              <w:rPr>
                <w:rFonts w:ascii="ＭＳ Ｐ明朝" w:eastAsia="ＭＳ Ｐ明朝" w:hAnsi="ＭＳ Ｐ明朝" w:hint="eastAsia"/>
                <w:szCs w:val="21"/>
              </w:rPr>
              <w:t>づ</w:t>
            </w:r>
            <w:r w:rsidRPr="00E36677">
              <w:rPr>
                <w:rFonts w:ascii="ＭＳ Ｐ明朝" w:eastAsia="ＭＳ Ｐ明朝" w:hAnsi="ＭＳ Ｐ明朝"/>
                <w:szCs w:val="21"/>
              </w:rPr>
              <w:t>いて、処方された薬剤の重複投薬、相互作用、 薬物アレル</w:t>
            </w:r>
            <w:r w:rsidRPr="00E36677">
              <w:rPr>
                <w:rFonts w:ascii="ＭＳ Ｐ明朝" w:eastAsia="ＭＳ Ｐ明朝" w:hAnsi="ＭＳ Ｐ明朝" w:hint="eastAsia"/>
                <w:szCs w:val="21"/>
              </w:rPr>
              <w:t>ギ</w:t>
            </w:r>
            <w:r w:rsidRPr="00E36677">
              <w:rPr>
                <w:rFonts w:ascii="ＭＳ Ｐ明朝" w:eastAsia="ＭＳ Ｐ明朝" w:hAnsi="ＭＳ Ｐ明朝"/>
                <w:szCs w:val="21"/>
              </w:rPr>
              <w:t>ー等を確認した上</w:t>
            </w:r>
            <w:r w:rsidRPr="00E36677">
              <w:rPr>
                <w:rFonts w:ascii="ＭＳ Ｐ明朝" w:eastAsia="ＭＳ Ｐ明朝" w:hAnsi="ＭＳ Ｐ明朝" w:hint="eastAsia"/>
                <w:szCs w:val="21"/>
              </w:rPr>
              <w:t>で</w:t>
            </w:r>
            <w:r w:rsidRPr="00E36677">
              <w:rPr>
                <w:rFonts w:ascii="ＭＳ Ｐ明朝" w:eastAsia="ＭＳ Ｐ明朝" w:hAnsi="ＭＳ Ｐ明朝"/>
                <w:szCs w:val="21"/>
              </w:rPr>
              <w:t>、薬剤情報提供文書により情報提供し、薬剤の服用に関し、基本的な説明を</w:t>
            </w:r>
            <w:r w:rsidRPr="00E36677">
              <w:rPr>
                <w:rFonts w:ascii="ＭＳ Ｐ明朝" w:eastAsia="ＭＳ Ｐ明朝" w:hAnsi="ＭＳ Ｐ明朝" w:hint="eastAsia"/>
                <w:szCs w:val="21"/>
              </w:rPr>
              <w:t>行っています。</w:t>
            </w:r>
          </w:p>
          <w:p w14:paraId="57DD93A1" w14:textId="77777777" w:rsidR="00B05AE2" w:rsidRPr="00E36677" w:rsidRDefault="00B05AE2" w:rsidP="00612DBC">
            <w:pPr>
              <w:pStyle w:val="a4"/>
              <w:ind w:firstLineChars="92" w:firstLine="193"/>
              <w:rPr>
                <w:rFonts w:ascii="ＭＳ Ｐ明朝" w:eastAsia="ＭＳ Ｐ明朝" w:hAnsi="ＭＳ Ｐ明朝"/>
                <w:szCs w:val="21"/>
              </w:rPr>
            </w:pPr>
            <w:r w:rsidRPr="00E36677">
              <w:rPr>
                <w:rFonts w:ascii="ＭＳ Ｐ明朝" w:eastAsia="ＭＳ Ｐ明朝" w:hAnsi="ＭＳ Ｐ明朝"/>
                <w:szCs w:val="21"/>
              </w:rPr>
              <w:t>薬剤服用歴等を参照しつつ、患者</w:t>
            </w:r>
            <w:r w:rsidRPr="00E36677">
              <w:rPr>
                <w:rFonts w:ascii="ＭＳ Ｐ明朝" w:eastAsia="ＭＳ Ｐ明朝" w:hAnsi="ＭＳ Ｐ明朝" w:hint="eastAsia"/>
                <w:szCs w:val="21"/>
              </w:rPr>
              <w:t>さまの</w:t>
            </w:r>
            <w:r w:rsidRPr="00E36677">
              <w:rPr>
                <w:rFonts w:ascii="ＭＳ Ｐ明朝" w:eastAsia="ＭＳ Ｐ明朝" w:hAnsi="ＭＳ Ｐ明朝"/>
                <w:szCs w:val="21"/>
              </w:rPr>
              <w:t>服薬状況、服薬期間中の体調の変化、残薬の状況等の情報を収集し</w:t>
            </w:r>
            <w:r w:rsidRPr="00E36677">
              <w:rPr>
                <w:rFonts w:ascii="ＭＳ Ｐ明朝" w:eastAsia="ＭＳ Ｐ明朝" w:hAnsi="ＭＳ Ｐ明朝" w:hint="eastAsia"/>
                <w:szCs w:val="21"/>
              </w:rPr>
              <w:t>た上で</w:t>
            </w:r>
            <w:r w:rsidRPr="00E36677">
              <w:rPr>
                <w:rFonts w:ascii="ＭＳ Ｐ明朝" w:eastAsia="ＭＳ Ｐ明朝" w:hAnsi="ＭＳ Ｐ明朝"/>
                <w:szCs w:val="21"/>
              </w:rPr>
              <w:t>、</w:t>
            </w:r>
            <w:r w:rsidRPr="00E36677">
              <w:rPr>
                <w:rFonts w:ascii="ＭＳ Ｐ明朝" w:eastAsia="ＭＳ Ｐ明朝" w:hAnsi="ＭＳ Ｐ明朝" w:hint="eastAsia"/>
                <w:szCs w:val="21"/>
              </w:rPr>
              <w:t>処方された</w:t>
            </w:r>
            <w:r w:rsidRPr="00E36677">
              <w:rPr>
                <w:rFonts w:ascii="ＭＳ Ｐ明朝" w:eastAsia="ＭＳ Ｐ明朝" w:hAnsi="ＭＳ Ｐ明朝"/>
                <w:szCs w:val="21"/>
              </w:rPr>
              <w:t>薬剤の適正使用のために必要な</w:t>
            </w:r>
            <w:r w:rsidRPr="00E36677">
              <w:rPr>
                <w:rFonts w:ascii="ＭＳ Ｐ明朝" w:eastAsia="ＭＳ Ｐ明朝" w:hAnsi="ＭＳ Ｐ明朝" w:hint="eastAsia"/>
                <w:szCs w:val="21"/>
              </w:rPr>
              <w:t>説明</w:t>
            </w:r>
            <w:r w:rsidRPr="00E36677">
              <w:rPr>
                <w:rFonts w:ascii="ＭＳ Ｐ明朝" w:eastAsia="ＭＳ Ｐ明朝" w:hAnsi="ＭＳ Ｐ明朝"/>
                <w:szCs w:val="21"/>
              </w:rPr>
              <w:t>を行</w:t>
            </w:r>
            <w:r w:rsidRPr="00E36677">
              <w:rPr>
                <w:rFonts w:ascii="ＭＳ Ｐ明朝" w:eastAsia="ＭＳ Ｐ明朝" w:hAnsi="ＭＳ Ｐ明朝" w:hint="eastAsia"/>
                <w:szCs w:val="21"/>
              </w:rPr>
              <w:t>っています。</w:t>
            </w:r>
          </w:p>
          <w:p w14:paraId="6A756A64" w14:textId="77777777" w:rsidR="00B05AE2" w:rsidRPr="00E36677" w:rsidRDefault="00B05AE2" w:rsidP="00612DBC">
            <w:pPr>
              <w:pStyle w:val="a4"/>
              <w:ind w:firstLineChars="92" w:firstLine="193"/>
              <w:rPr>
                <w:rFonts w:ascii="ＭＳ Ｐ明朝" w:eastAsia="ＭＳ Ｐ明朝" w:hAnsi="ＭＳ Ｐ明朝"/>
                <w:szCs w:val="21"/>
              </w:rPr>
            </w:pPr>
            <w:r w:rsidRPr="00E36677">
              <w:rPr>
                <w:rFonts w:ascii="ＭＳ Ｐ明朝" w:eastAsia="ＭＳ Ｐ明朝" w:hAnsi="ＭＳ Ｐ明朝"/>
                <w:szCs w:val="21"/>
              </w:rPr>
              <w:t>薬剤交付後においても、当該患者の服薬状況、服薬期間中の体調の変化等について、継続的な確認のため必要に応</w:t>
            </w:r>
            <w:r w:rsidRPr="00E36677">
              <w:rPr>
                <w:rFonts w:ascii="ＭＳ Ｐ明朝" w:eastAsia="ＭＳ Ｐ明朝" w:hAnsi="ＭＳ Ｐ明朝" w:hint="eastAsia"/>
                <w:szCs w:val="21"/>
              </w:rPr>
              <w:t>じ</w:t>
            </w:r>
            <w:r w:rsidRPr="00E36677">
              <w:rPr>
                <w:rFonts w:ascii="ＭＳ Ｐ明朝" w:eastAsia="ＭＳ Ｐ明朝" w:hAnsi="ＭＳ Ｐ明朝"/>
                <w:szCs w:val="21"/>
              </w:rPr>
              <w:t>て指導等を実施</w:t>
            </w:r>
            <w:r w:rsidRPr="00E36677">
              <w:rPr>
                <w:rFonts w:ascii="ＭＳ Ｐ明朝" w:eastAsia="ＭＳ Ｐ明朝" w:hAnsi="ＭＳ Ｐ明朝" w:hint="eastAsia"/>
                <w:szCs w:val="21"/>
              </w:rPr>
              <w:t>しています。</w:t>
            </w:r>
          </w:p>
        </w:tc>
      </w:tr>
    </w:tbl>
    <w:p w14:paraId="55CFAAC6" w14:textId="77777777" w:rsidR="00B05AE2" w:rsidRPr="00E36677" w:rsidRDefault="00B05AE2" w:rsidP="003D07BA">
      <w:pPr>
        <w:spacing w:line="0" w:lineRule="atLeast"/>
        <w:rPr>
          <w:rFonts w:ascii="ＭＳ Ｐ明朝" w:eastAsia="ＭＳ Ｐ明朝" w:hAnsi="ＭＳ Ｐ明朝" w:cs="Times New Roman"/>
          <w:szCs w:val="21"/>
        </w:rPr>
      </w:pPr>
    </w:p>
    <w:p w14:paraId="7E2CC984" w14:textId="77777777" w:rsidR="00EC0D80" w:rsidRPr="00E36677" w:rsidRDefault="00EC0D80" w:rsidP="003D07BA">
      <w:pPr>
        <w:spacing w:line="0" w:lineRule="atLeast"/>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1872"/>
        <w:gridCol w:w="8045"/>
      </w:tblGrid>
      <w:tr w:rsidR="00AE3265" w:rsidRPr="00E36677" w14:paraId="07FAB605" w14:textId="77777777" w:rsidTr="00E36677">
        <w:tc>
          <w:tcPr>
            <w:tcW w:w="9917" w:type="dxa"/>
            <w:gridSpan w:val="2"/>
            <w:shd w:val="clear" w:color="auto" w:fill="E7E6E6" w:themeFill="background2"/>
          </w:tcPr>
          <w:p w14:paraId="543ECAE6" w14:textId="3C30180B" w:rsidR="00AE3265" w:rsidRPr="00E36677" w:rsidRDefault="00AE3265"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連携強化加算に関する事項</w:t>
            </w:r>
          </w:p>
        </w:tc>
      </w:tr>
      <w:tr w:rsidR="00AE3265" w:rsidRPr="00E36677" w14:paraId="65E79BAB" w14:textId="77777777" w:rsidTr="00E36677">
        <w:trPr>
          <w:trHeight w:val="2399"/>
        </w:trPr>
        <w:tc>
          <w:tcPr>
            <w:tcW w:w="1872" w:type="dxa"/>
            <w:vAlign w:val="center"/>
          </w:tcPr>
          <w:p w14:paraId="382596D6" w14:textId="21198C39" w:rsidR="00AE3265" w:rsidRPr="00E36677" w:rsidRDefault="00AE3265"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連携強化加算</w:t>
            </w:r>
          </w:p>
        </w:tc>
        <w:tc>
          <w:tcPr>
            <w:tcW w:w="8045" w:type="dxa"/>
          </w:tcPr>
          <w:p w14:paraId="1ED2DE66" w14:textId="1E4ACC2B" w:rsidR="00AE3265" w:rsidRPr="00E36677" w:rsidRDefault="00AE3265"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当薬局は以下の基準に適合</w:t>
            </w:r>
            <w:r w:rsidR="00DE0FDC" w:rsidRPr="00E36677">
              <w:rPr>
                <w:rFonts w:ascii="ＭＳ Ｐ明朝" w:eastAsia="ＭＳ Ｐ明朝" w:hAnsi="ＭＳ Ｐ明朝" w:cs="Times New Roman" w:hint="eastAsia"/>
                <w:szCs w:val="21"/>
              </w:rPr>
              <w:t>する薬局です。</w:t>
            </w:r>
          </w:p>
          <w:p w14:paraId="7A043546" w14:textId="0E7CB62B" w:rsidR="00883A4E" w:rsidRPr="00E36677" w:rsidRDefault="00883A4E" w:rsidP="00883A4E">
            <w:pPr>
              <w:pStyle w:val="a3"/>
              <w:numPr>
                <w:ilvl w:val="0"/>
                <w:numId w:val="4"/>
              </w:numPr>
              <w:spacing w:line="0" w:lineRule="atLeast"/>
              <w:ind w:leftChars="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第二種指定医療機関の指定</w:t>
            </w:r>
          </w:p>
          <w:p w14:paraId="119F69F6" w14:textId="4EAB3597" w:rsidR="00883A4E" w:rsidRPr="00E36677" w:rsidRDefault="00AE3265" w:rsidP="00883A4E">
            <w:pPr>
              <w:pStyle w:val="a3"/>
              <w:numPr>
                <w:ilvl w:val="0"/>
                <w:numId w:val="3"/>
              </w:numPr>
              <w:spacing w:line="0" w:lineRule="atLeast"/>
              <w:ind w:leftChars="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新興感染症や災害の発生時における体制の整備</w:t>
            </w:r>
            <w:r w:rsidR="00883A4E" w:rsidRPr="00E36677">
              <w:rPr>
                <w:rFonts w:ascii="ＭＳ Ｐ明朝" w:eastAsia="ＭＳ Ｐ明朝" w:hAnsi="ＭＳ Ｐ明朝" w:cs="Times New Roman" w:hint="eastAsia"/>
                <w:szCs w:val="21"/>
              </w:rPr>
              <w:t>及び</w:t>
            </w:r>
            <w:r w:rsidRPr="00E36677">
              <w:rPr>
                <w:rFonts w:ascii="ＭＳ Ｐ明朝" w:eastAsia="ＭＳ Ｐ明朝" w:hAnsi="ＭＳ Ｐ明朝" w:cs="Times New Roman" w:hint="eastAsia"/>
                <w:szCs w:val="21"/>
              </w:rPr>
              <w:t>周知</w:t>
            </w:r>
          </w:p>
          <w:p w14:paraId="4F08427F" w14:textId="2B6A61AE" w:rsidR="00AE3265" w:rsidRPr="00E36677" w:rsidRDefault="00883A4E" w:rsidP="00883A4E">
            <w:pPr>
              <w:pStyle w:val="a3"/>
              <w:numPr>
                <w:ilvl w:val="0"/>
                <w:numId w:val="3"/>
              </w:numPr>
              <w:spacing w:line="0" w:lineRule="atLeast"/>
              <w:ind w:leftChars="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新興感染症や災害の発生時における手順書の作成及び職員との共有</w:t>
            </w:r>
          </w:p>
          <w:p w14:paraId="0CD4F896" w14:textId="7CAC08BE" w:rsidR="00883A4E" w:rsidRPr="00E36677" w:rsidRDefault="00883A4E" w:rsidP="00883A4E">
            <w:pPr>
              <w:pStyle w:val="a3"/>
              <w:numPr>
                <w:ilvl w:val="0"/>
                <w:numId w:val="3"/>
              </w:numPr>
              <w:spacing w:line="0" w:lineRule="atLeast"/>
              <w:ind w:leftChars="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災害の被災状況に応じた研修、または地域の協議会、研修</w:t>
            </w:r>
            <w:r w:rsidR="00612DBC" w:rsidRPr="00E36677">
              <w:rPr>
                <w:rFonts w:ascii="ＭＳ Ｐ明朝" w:eastAsia="ＭＳ Ｐ明朝" w:hAnsi="ＭＳ Ｐ明朝" w:cs="Times New Roman" w:hint="eastAsia"/>
                <w:szCs w:val="21"/>
              </w:rPr>
              <w:t>または</w:t>
            </w:r>
            <w:r w:rsidRPr="00E36677">
              <w:rPr>
                <w:rFonts w:ascii="ＭＳ Ｐ明朝" w:eastAsia="ＭＳ Ｐ明朝" w:hAnsi="ＭＳ Ｐ明朝" w:cs="Times New Roman" w:hint="eastAsia"/>
                <w:szCs w:val="21"/>
              </w:rPr>
              <w:t>訓練等への参加計画・実施</w:t>
            </w:r>
          </w:p>
          <w:p w14:paraId="3DD89345" w14:textId="133BBDF9" w:rsidR="00883A4E" w:rsidRPr="00E36677" w:rsidRDefault="00883A4E" w:rsidP="00883A4E">
            <w:pPr>
              <w:pStyle w:val="a3"/>
              <w:numPr>
                <w:ilvl w:val="0"/>
                <w:numId w:val="3"/>
              </w:numPr>
              <w:spacing w:line="0" w:lineRule="atLeast"/>
              <w:ind w:leftChars="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オンライン服薬指導の整備・セキュリティー全般に対する対応</w:t>
            </w:r>
          </w:p>
          <w:p w14:paraId="1518725A" w14:textId="2E6B1975" w:rsidR="00AE3265" w:rsidRPr="00E36677" w:rsidRDefault="00883A4E" w:rsidP="006221A6">
            <w:pPr>
              <w:pStyle w:val="a3"/>
              <w:numPr>
                <w:ilvl w:val="0"/>
                <w:numId w:val="3"/>
              </w:numPr>
              <w:spacing w:line="0" w:lineRule="atLeast"/>
              <w:ind w:leftChars="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要指導医薬品・一般用医薬品の販売</w:t>
            </w:r>
          </w:p>
        </w:tc>
      </w:tr>
    </w:tbl>
    <w:p w14:paraId="4360BF10" w14:textId="77777777" w:rsidR="003D07BA" w:rsidRPr="00E36677" w:rsidRDefault="003D07BA" w:rsidP="003D07BA">
      <w:pPr>
        <w:spacing w:line="0" w:lineRule="atLeast"/>
        <w:textAlignment w:val="center"/>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1985"/>
        <w:gridCol w:w="7932"/>
      </w:tblGrid>
      <w:tr w:rsidR="003D07BA" w:rsidRPr="00E36677" w14:paraId="0A97D499" w14:textId="77777777" w:rsidTr="00E36677">
        <w:tc>
          <w:tcPr>
            <w:tcW w:w="9917" w:type="dxa"/>
            <w:gridSpan w:val="2"/>
            <w:shd w:val="clear" w:color="auto" w:fill="E7E6E6" w:themeFill="background2"/>
          </w:tcPr>
          <w:p w14:paraId="718EB3E2" w14:textId="14DCD847" w:rsidR="003D07BA" w:rsidRPr="00E36677" w:rsidRDefault="00883A4E" w:rsidP="00890D95">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在宅薬学総合加算</w:t>
            </w:r>
            <w:r w:rsidR="00387E14">
              <w:rPr>
                <w:rFonts w:ascii="ＭＳ Ｐ明朝" w:eastAsia="ＭＳ Ｐ明朝" w:hAnsi="ＭＳ Ｐ明朝" w:cs="Times New Roman" w:hint="eastAsia"/>
                <w:szCs w:val="21"/>
              </w:rPr>
              <w:t>１</w:t>
            </w:r>
            <w:r w:rsidRPr="00E36677">
              <w:rPr>
                <w:rFonts w:ascii="ＭＳ Ｐ明朝" w:eastAsia="ＭＳ Ｐ明朝" w:hAnsi="ＭＳ Ｐ明朝" w:cs="Times New Roman" w:hint="eastAsia"/>
                <w:szCs w:val="21"/>
              </w:rPr>
              <w:t>に関する事項</w:t>
            </w:r>
          </w:p>
        </w:tc>
      </w:tr>
      <w:tr w:rsidR="003D07BA" w:rsidRPr="00E36677" w14:paraId="7E19C90E" w14:textId="77777777" w:rsidTr="00E36677">
        <w:trPr>
          <w:trHeight w:val="3532"/>
        </w:trPr>
        <w:tc>
          <w:tcPr>
            <w:tcW w:w="1985" w:type="dxa"/>
            <w:vAlign w:val="center"/>
          </w:tcPr>
          <w:p w14:paraId="7DC3AFD8" w14:textId="3320A766" w:rsidR="003D07BA" w:rsidRPr="00E36677" w:rsidRDefault="00883A4E" w:rsidP="00890D95">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在宅薬学総合加算</w:t>
            </w:r>
            <w:r w:rsidR="00387E14">
              <w:rPr>
                <w:rFonts w:ascii="ＭＳ Ｐ明朝" w:eastAsia="ＭＳ Ｐ明朝" w:hAnsi="ＭＳ Ｐ明朝" w:cs="Times New Roman" w:hint="eastAsia"/>
                <w:szCs w:val="21"/>
              </w:rPr>
              <w:t>１</w:t>
            </w:r>
          </w:p>
        </w:tc>
        <w:tc>
          <w:tcPr>
            <w:tcW w:w="7932" w:type="dxa"/>
          </w:tcPr>
          <w:p w14:paraId="2C4C2989" w14:textId="77777777" w:rsidR="003D07BA" w:rsidRPr="00E36677" w:rsidRDefault="00DE0FDC" w:rsidP="00890D95">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当薬局は以下の基準に適合する薬局です。</w:t>
            </w:r>
          </w:p>
          <w:p w14:paraId="5A9653DD" w14:textId="77777777" w:rsidR="00DE0FDC" w:rsidRPr="00E36677" w:rsidRDefault="00DE0FDC" w:rsidP="00612DBC">
            <w:pPr>
              <w:pStyle w:val="a3"/>
              <w:numPr>
                <w:ilvl w:val="0"/>
                <w:numId w:val="5"/>
              </w:numPr>
              <w:spacing w:line="0" w:lineRule="atLeast"/>
              <w:ind w:leftChars="0" w:left="194"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在宅患者訪問薬剤管理指導を行う旨の届出</w:t>
            </w:r>
          </w:p>
          <w:p w14:paraId="3742C1E0" w14:textId="2FDF6FF0" w:rsidR="00DE0FDC" w:rsidRPr="00E36677" w:rsidRDefault="00DE0FDC" w:rsidP="00612DBC">
            <w:pPr>
              <w:pStyle w:val="a3"/>
              <w:numPr>
                <w:ilvl w:val="0"/>
                <w:numId w:val="5"/>
              </w:numPr>
              <w:spacing w:line="0" w:lineRule="atLeast"/>
              <w:ind w:leftChars="0" w:left="194"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緊急時等の開局時間以外の時間における在宅業務に対応できる体制（在宅協力薬局との連携を含む）及び周知</w:t>
            </w:r>
          </w:p>
          <w:p w14:paraId="00F4C631" w14:textId="338B2A78" w:rsidR="00DE0FDC" w:rsidRPr="00E36677" w:rsidRDefault="00DE0FDC" w:rsidP="00612DBC">
            <w:pPr>
              <w:pStyle w:val="a3"/>
              <w:numPr>
                <w:ilvl w:val="0"/>
                <w:numId w:val="5"/>
              </w:numPr>
              <w:spacing w:line="0" w:lineRule="atLeast"/>
              <w:ind w:leftChars="0" w:left="194"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在宅業務に必要な研修計画の実施、外部の学術研修の受講</w:t>
            </w:r>
          </w:p>
          <w:p w14:paraId="149995FC" w14:textId="2D6AA697" w:rsidR="00DE0FDC" w:rsidRPr="00E36677" w:rsidRDefault="00DE0FDC" w:rsidP="00612DBC">
            <w:pPr>
              <w:pStyle w:val="a3"/>
              <w:numPr>
                <w:ilvl w:val="0"/>
                <w:numId w:val="5"/>
              </w:numPr>
              <w:spacing w:line="0" w:lineRule="atLeast"/>
              <w:ind w:leftChars="0" w:left="194"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医療材料・衛生材料の供給体制</w:t>
            </w:r>
          </w:p>
          <w:p w14:paraId="79A7EF63" w14:textId="45367AFB" w:rsidR="00DE0FDC" w:rsidRPr="00E36677" w:rsidRDefault="00DE0FDC" w:rsidP="00612DBC">
            <w:pPr>
              <w:pStyle w:val="a3"/>
              <w:numPr>
                <w:ilvl w:val="0"/>
                <w:numId w:val="5"/>
              </w:numPr>
              <w:spacing w:line="0" w:lineRule="atLeast"/>
              <w:ind w:leftChars="0" w:left="194"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麻薬小売業者免許の取得</w:t>
            </w:r>
          </w:p>
          <w:p w14:paraId="11B0A82A" w14:textId="286488F5" w:rsidR="00DE0FDC" w:rsidRPr="00E36677" w:rsidRDefault="00DE0FDC" w:rsidP="00612DBC">
            <w:pPr>
              <w:pStyle w:val="a3"/>
              <w:numPr>
                <w:ilvl w:val="0"/>
                <w:numId w:val="5"/>
              </w:numPr>
              <w:spacing w:line="0" w:lineRule="atLeast"/>
              <w:ind w:leftChars="0" w:left="194"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在宅患者に対する薬学管理及び指導の実績（年24回以上）</w:t>
            </w:r>
          </w:p>
          <w:p w14:paraId="3BD76B51" w14:textId="1717DE6D" w:rsidR="00DE0FDC" w:rsidRPr="00E36677" w:rsidRDefault="00DE0FDC" w:rsidP="00612DBC">
            <w:pPr>
              <w:spacing w:line="0" w:lineRule="atLeast"/>
              <w:ind w:left="194" w:hanging="246"/>
              <w:textAlignment w:val="center"/>
              <w:rPr>
                <w:rFonts w:ascii="ＭＳ Ｐ明朝" w:eastAsia="ＭＳ Ｐ明朝" w:hAnsi="ＭＳ Ｐ明朝" w:cs="Times New Roman"/>
                <w:szCs w:val="21"/>
              </w:rPr>
            </w:pPr>
          </w:p>
          <w:p w14:paraId="35ED1E3E" w14:textId="07F78D96" w:rsidR="00DE0FDC" w:rsidRPr="00E36677" w:rsidRDefault="00DE0FDC" w:rsidP="00612DBC">
            <w:pPr>
              <w:spacing w:line="0" w:lineRule="atLeast"/>
              <w:ind w:left="194"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（在宅薬学総合加算２の場合はいずれか）</w:t>
            </w:r>
          </w:p>
          <w:p w14:paraId="4998B56A" w14:textId="65DAD296" w:rsidR="00DE0FDC" w:rsidRPr="00E36677" w:rsidRDefault="00DE0FDC" w:rsidP="00612DBC">
            <w:pPr>
              <w:pStyle w:val="a3"/>
              <w:numPr>
                <w:ilvl w:val="0"/>
                <w:numId w:val="6"/>
              </w:numPr>
              <w:spacing w:line="0" w:lineRule="atLeast"/>
              <w:ind w:leftChars="0" w:left="194"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ターミナルケアに対する体制（医療用麻薬</w:t>
            </w:r>
            <w:r w:rsidR="00612DBC" w:rsidRPr="00E36677">
              <w:rPr>
                <w:rFonts w:ascii="ＭＳ Ｐ明朝" w:eastAsia="ＭＳ Ｐ明朝" w:hAnsi="ＭＳ Ｐ明朝" w:cs="Times New Roman" w:hint="eastAsia"/>
                <w:szCs w:val="21"/>
              </w:rPr>
              <w:t>備蓄かつ</w:t>
            </w:r>
            <w:r w:rsidRPr="00E36677">
              <w:rPr>
                <w:rFonts w:ascii="ＭＳ Ｐ明朝" w:eastAsia="ＭＳ Ｐ明朝" w:hAnsi="ＭＳ Ｐ明朝" w:cs="Times New Roman" w:hint="eastAsia"/>
                <w:szCs w:val="21"/>
              </w:rPr>
              <w:t>無菌</w:t>
            </w:r>
            <w:r w:rsidR="00612DBC" w:rsidRPr="00E36677">
              <w:rPr>
                <w:rFonts w:ascii="ＭＳ Ｐ明朝" w:eastAsia="ＭＳ Ｐ明朝" w:hAnsi="ＭＳ Ｐ明朝" w:cs="Times New Roman" w:hint="eastAsia"/>
                <w:szCs w:val="21"/>
              </w:rPr>
              <w:t>調製の設備</w:t>
            </w:r>
            <w:r w:rsidRPr="00E36677">
              <w:rPr>
                <w:rFonts w:ascii="ＭＳ Ｐ明朝" w:eastAsia="ＭＳ Ｐ明朝" w:hAnsi="ＭＳ Ｐ明朝" w:cs="Times New Roman" w:hint="eastAsia"/>
                <w:szCs w:val="21"/>
              </w:rPr>
              <w:t>）</w:t>
            </w:r>
          </w:p>
          <w:p w14:paraId="573DEF7F" w14:textId="5F5B6626" w:rsidR="00DE0FDC" w:rsidRPr="00E36677" w:rsidRDefault="00DE0FDC" w:rsidP="00612DBC">
            <w:pPr>
              <w:pStyle w:val="a3"/>
              <w:numPr>
                <w:ilvl w:val="0"/>
                <w:numId w:val="6"/>
              </w:numPr>
              <w:spacing w:line="0" w:lineRule="atLeast"/>
              <w:ind w:leftChars="0" w:left="194"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小児在宅患者に対する体制（</w:t>
            </w:r>
            <w:r w:rsidR="00612DBC" w:rsidRPr="00E36677">
              <w:rPr>
                <w:rFonts w:ascii="ＭＳ Ｐ明朝" w:eastAsia="ＭＳ Ｐ明朝" w:hAnsi="ＭＳ Ｐ明朝" w:cs="Times New Roman" w:hint="eastAsia"/>
                <w:szCs w:val="21"/>
              </w:rPr>
              <w:t>薬学管理・指導の実績が年６回以上）</w:t>
            </w:r>
          </w:p>
        </w:tc>
      </w:tr>
    </w:tbl>
    <w:p w14:paraId="444FEF79" w14:textId="77777777" w:rsidR="003D07BA" w:rsidRPr="00E36677" w:rsidRDefault="003D07BA" w:rsidP="003D07BA">
      <w:pPr>
        <w:spacing w:line="0" w:lineRule="atLeast"/>
        <w:ind w:right="945"/>
        <w:textAlignment w:val="center"/>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1985"/>
        <w:gridCol w:w="7932"/>
      </w:tblGrid>
      <w:tr w:rsidR="00612DBC" w:rsidRPr="00E36677" w14:paraId="06FF1134" w14:textId="77777777" w:rsidTr="00E36677">
        <w:tc>
          <w:tcPr>
            <w:tcW w:w="9917" w:type="dxa"/>
            <w:gridSpan w:val="2"/>
            <w:shd w:val="clear" w:color="auto" w:fill="E7E6E6" w:themeFill="background2"/>
          </w:tcPr>
          <w:p w14:paraId="3B6AB06D" w14:textId="55D0AB2B" w:rsidR="00612DBC" w:rsidRPr="00E36677" w:rsidRDefault="00612DBC"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医療DX推進体制整備加算に関する事項</w:t>
            </w:r>
          </w:p>
        </w:tc>
      </w:tr>
      <w:tr w:rsidR="00612DBC" w:rsidRPr="00E36677" w14:paraId="0064D245" w14:textId="77777777" w:rsidTr="00E36677">
        <w:trPr>
          <w:trHeight w:val="2698"/>
        </w:trPr>
        <w:tc>
          <w:tcPr>
            <w:tcW w:w="1985" w:type="dxa"/>
            <w:vAlign w:val="center"/>
          </w:tcPr>
          <w:p w14:paraId="0243B5EF" w14:textId="23554617" w:rsidR="00612DBC" w:rsidRPr="00E36677" w:rsidRDefault="00612DBC"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医療DX推進体制整備加算</w:t>
            </w:r>
          </w:p>
        </w:tc>
        <w:tc>
          <w:tcPr>
            <w:tcW w:w="7932" w:type="dxa"/>
          </w:tcPr>
          <w:p w14:paraId="18602E88" w14:textId="77777777" w:rsidR="00612DBC" w:rsidRPr="00E36677" w:rsidRDefault="00612DBC"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当薬局は以下の基準に適合する薬局です。</w:t>
            </w:r>
          </w:p>
          <w:p w14:paraId="6D1F0E40" w14:textId="592E069D" w:rsidR="00612DBC" w:rsidRPr="00E36677" w:rsidRDefault="00612DBC"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オンラインによる調剤報酬の請求</w:t>
            </w:r>
          </w:p>
          <w:p w14:paraId="36D414DF" w14:textId="1A6D64B9" w:rsidR="00612DBC" w:rsidRPr="00E36677" w:rsidRDefault="00612DBC"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オンライン資格確認を行う体制・活用</w:t>
            </w:r>
          </w:p>
          <w:p w14:paraId="19507755" w14:textId="0B11EE65" w:rsidR="00612DBC" w:rsidRPr="00E36677" w:rsidRDefault="00612DBC"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電子処方箋により調剤する体制</w:t>
            </w:r>
          </w:p>
          <w:p w14:paraId="15C67EE8" w14:textId="7293BF68" w:rsidR="00612DBC" w:rsidRPr="00E36677" w:rsidRDefault="00612DBC"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電子薬歴による薬剤服用歴の管理体制</w:t>
            </w:r>
          </w:p>
          <w:p w14:paraId="3E7A2480" w14:textId="45742F25" w:rsidR="00612DBC" w:rsidRPr="00E36677" w:rsidRDefault="00612DBC"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電子カルテ情報共有サービスにより</w:t>
            </w:r>
            <w:r w:rsidR="00436D31" w:rsidRPr="00E36677">
              <w:rPr>
                <w:rFonts w:ascii="ＭＳ Ｐ明朝" w:eastAsia="ＭＳ Ｐ明朝" w:hAnsi="ＭＳ Ｐ明朝" w:cs="Times New Roman" w:hint="eastAsia"/>
                <w:szCs w:val="21"/>
              </w:rPr>
              <w:t>診療時情報を活用する体制</w:t>
            </w:r>
          </w:p>
          <w:p w14:paraId="29892A36" w14:textId="7DA0A016" w:rsidR="00436D31" w:rsidRPr="00E36677" w:rsidRDefault="00436D31"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マイナ保険証の利用率が一定割合以上</w:t>
            </w:r>
          </w:p>
          <w:p w14:paraId="75DE7C64" w14:textId="008D3C76" w:rsidR="00436D31" w:rsidRPr="00E36677" w:rsidRDefault="00436D31"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医療DX推進の体制に関する掲示</w:t>
            </w:r>
          </w:p>
          <w:p w14:paraId="7AA75495" w14:textId="4DD58ED3" w:rsidR="00612DBC" w:rsidRPr="00E36677" w:rsidRDefault="00436D31" w:rsidP="00436D31">
            <w:pPr>
              <w:pStyle w:val="a3"/>
              <w:numPr>
                <w:ilvl w:val="0"/>
                <w:numId w:val="7"/>
              </w:numPr>
              <w:spacing w:line="0" w:lineRule="atLeast"/>
              <w:ind w:leftChars="-41" w:left="160" w:hangingChars="117" w:hanging="246"/>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サイバーセキュリティの確保のために必要な措置</w:t>
            </w:r>
          </w:p>
        </w:tc>
      </w:tr>
    </w:tbl>
    <w:p w14:paraId="179E9FF1" w14:textId="77777777" w:rsidR="00612DBC" w:rsidRPr="00E36677" w:rsidRDefault="00612DBC" w:rsidP="003D07BA">
      <w:pPr>
        <w:spacing w:line="0" w:lineRule="atLeast"/>
        <w:ind w:right="945"/>
        <w:textAlignment w:val="center"/>
        <w:rPr>
          <w:rFonts w:ascii="ＭＳ Ｐ明朝" w:eastAsia="ＭＳ Ｐ明朝" w:hAnsi="ＭＳ Ｐ明朝" w:cs="Times New Roman"/>
          <w:szCs w:val="21"/>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1985"/>
        <w:gridCol w:w="7932"/>
      </w:tblGrid>
      <w:tr w:rsidR="00883A4E" w:rsidRPr="00E36677" w14:paraId="4A3B802C" w14:textId="77777777" w:rsidTr="00E36677">
        <w:tc>
          <w:tcPr>
            <w:tcW w:w="9917" w:type="dxa"/>
            <w:gridSpan w:val="2"/>
            <w:shd w:val="clear" w:color="auto" w:fill="E7E6E6" w:themeFill="background2"/>
          </w:tcPr>
          <w:p w14:paraId="13A208E2" w14:textId="77777777" w:rsidR="00883A4E" w:rsidRPr="00E36677" w:rsidRDefault="00883A4E"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無菌製剤処理加算に関する事項</w:t>
            </w:r>
          </w:p>
        </w:tc>
      </w:tr>
      <w:tr w:rsidR="00883A4E" w:rsidRPr="00E36677" w14:paraId="0789CD57" w14:textId="77777777" w:rsidTr="006221A6">
        <w:tc>
          <w:tcPr>
            <w:tcW w:w="1985" w:type="dxa"/>
            <w:vAlign w:val="center"/>
          </w:tcPr>
          <w:p w14:paraId="67B0E90E" w14:textId="77777777" w:rsidR="00883A4E" w:rsidRPr="00E36677" w:rsidRDefault="00883A4E"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無菌製剤処理加算</w:t>
            </w:r>
          </w:p>
        </w:tc>
        <w:tc>
          <w:tcPr>
            <w:tcW w:w="7932" w:type="dxa"/>
          </w:tcPr>
          <w:p w14:paraId="08E9AC76" w14:textId="77777777" w:rsidR="00883A4E" w:rsidRPr="00E36677" w:rsidRDefault="00883A4E" w:rsidP="006221A6">
            <w:pPr>
              <w:spacing w:line="0" w:lineRule="atLeas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当薬局は２人以上の薬剤師（１名以上が常勤の保険薬剤師）が勤務し、無菌室、クリーンベンチ、または安全キャビネットを備え（他の施設と共同利用する場合を含む）、注射剤薬等の無菌的な調剤を行います。</w:t>
            </w:r>
          </w:p>
        </w:tc>
      </w:tr>
    </w:tbl>
    <w:p w14:paraId="466BBD50" w14:textId="77777777" w:rsidR="00FD60BA" w:rsidRPr="00E36677" w:rsidRDefault="00FD60BA" w:rsidP="003D07BA">
      <w:pPr>
        <w:spacing w:line="0" w:lineRule="atLeast"/>
        <w:ind w:right="945"/>
        <w:textAlignment w:val="center"/>
        <w:rPr>
          <w:rFonts w:ascii="ＭＳ Ｐ明朝" w:eastAsia="ＭＳ Ｐ明朝" w:hAnsi="ＭＳ Ｐ明朝" w:cs="Times New Roman" w:hint="eastAsia"/>
          <w:szCs w:val="21"/>
        </w:rPr>
      </w:pP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4668"/>
        <w:gridCol w:w="5264"/>
      </w:tblGrid>
      <w:tr w:rsidR="003D07BA" w:rsidRPr="00E36677" w14:paraId="1DF6E446" w14:textId="77777777" w:rsidTr="00890D95">
        <w:tc>
          <w:tcPr>
            <w:tcW w:w="4668" w:type="dxa"/>
            <w:vAlign w:val="center"/>
          </w:tcPr>
          <w:p w14:paraId="1A1BCC72" w14:textId="288EC7CF" w:rsidR="003D07BA" w:rsidRPr="00E36677" w:rsidRDefault="00387E14" w:rsidP="00890D95">
            <w:pPr>
              <w:spacing w:line="0" w:lineRule="atLeast"/>
              <w:jc w:val="center"/>
              <w:textAlignment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ナカムラ調剤</w:t>
            </w:r>
            <w:r w:rsidR="003D07BA" w:rsidRPr="00E36677">
              <w:rPr>
                <w:rFonts w:ascii="ＭＳ Ｐ明朝" w:eastAsia="ＭＳ Ｐ明朝" w:hAnsi="ＭＳ Ｐ明朝" w:cs="Times New Roman" w:hint="eastAsia"/>
                <w:szCs w:val="21"/>
              </w:rPr>
              <w:t>薬局</w:t>
            </w:r>
          </w:p>
        </w:tc>
        <w:tc>
          <w:tcPr>
            <w:tcW w:w="5264" w:type="dxa"/>
            <w:vAlign w:val="center"/>
          </w:tcPr>
          <w:p w14:paraId="377EFE84" w14:textId="5FF8377F" w:rsidR="003D07BA" w:rsidRPr="00E36677" w:rsidRDefault="003D07BA" w:rsidP="00890D95">
            <w:pPr>
              <w:spacing w:line="0" w:lineRule="atLeast"/>
              <w:ind w:firstLineChars="100" w:firstLine="210"/>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 xml:space="preserve">管理薬剤師　：　</w:t>
            </w:r>
            <w:r w:rsidR="00387E14">
              <w:rPr>
                <w:rFonts w:ascii="ＭＳ Ｐ明朝" w:eastAsia="ＭＳ Ｐ明朝" w:hAnsi="ＭＳ Ｐ明朝" w:cs="Times New Roman" w:hint="eastAsia"/>
                <w:szCs w:val="21"/>
              </w:rPr>
              <w:t>中村　未来</w:t>
            </w:r>
          </w:p>
        </w:tc>
      </w:tr>
      <w:tr w:rsidR="003D07BA" w:rsidRPr="00E36677" w14:paraId="4664A109" w14:textId="77777777" w:rsidTr="00890D95">
        <w:tc>
          <w:tcPr>
            <w:tcW w:w="4668" w:type="dxa"/>
            <w:vMerge w:val="restart"/>
            <w:vAlign w:val="center"/>
          </w:tcPr>
          <w:p w14:paraId="23A00E80" w14:textId="5BD4C080" w:rsidR="003D07BA" w:rsidRPr="00E36677" w:rsidRDefault="003D07BA" w:rsidP="00890D95">
            <w:pPr>
              <w:spacing w:line="0" w:lineRule="atLeast"/>
              <w:jc w:val="left"/>
              <w:textAlignment w:val="center"/>
              <w:rPr>
                <w:rFonts w:ascii="ＭＳ Ｐ明朝" w:eastAsia="ＭＳ Ｐ明朝" w:hAnsi="ＭＳ Ｐ明朝" w:cs="Times New Roman"/>
                <w:szCs w:val="21"/>
              </w:rPr>
            </w:pPr>
            <w:r w:rsidRPr="00E36677">
              <w:rPr>
                <w:rFonts w:ascii="ＭＳ Ｐ明朝" w:eastAsia="ＭＳ Ｐ明朝" w:hAnsi="ＭＳ Ｐ明朝" w:cs="Times New Roman" w:hint="eastAsia"/>
                <w:szCs w:val="21"/>
              </w:rPr>
              <w:t>所在地：鹿児島</w:t>
            </w:r>
            <w:r w:rsidR="00387E14">
              <w:rPr>
                <w:rFonts w:ascii="ＭＳ Ｐ明朝" w:eastAsia="ＭＳ Ｐ明朝" w:hAnsi="ＭＳ Ｐ明朝" w:cs="Times New Roman" w:hint="eastAsia"/>
                <w:szCs w:val="21"/>
              </w:rPr>
              <w:t>県南九州市知覧町郡5236-8</w:t>
            </w:r>
          </w:p>
        </w:tc>
        <w:tc>
          <w:tcPr>
            <w:tcW w:w="5264" w:type="dxa"/>
          </w:tcPr>
          <w:p w14:paraId="4E58F966" w14:textId="21029444" w:rsidR="003D07BA" w:rsidRPr="00E36677" w:rsidRDefault="003D07BA" w:rsidP="00890D95">
            <w:pPr>
              <w:spacing w:line="0" w:lineRule="atLeast"/>
              <w:ind w:firstLineChars="100" w:firstLine="210"/>
              <w:textAlignment w:val="center"/>
              <w:rPr>
                <w:rFonts w:ascii="ＭＳ Ｐ明朝" w:eastAsia="ＭＳ Ｐ明朝" w:hAnsi="ＭＳ Ｐ明朝" w:cs="Times New Roman" w:hint="eastAsia"/>
                <w:szCs w:val="21"/>
              </w:rPr>
            </w:pPr>
            <w:r w:rsidRPr="00E36677">
              <w:rPr>
                <w:rFonts w:ascii="ＭＳ Ｐ明朝" w:eastAsia="ＭＳ Ｐ明朝" w:hAnsi="ＭＳ Ｐ明朝" w:cs="Times New Roman" w:hint="eastAsia"/>
                <w:szCs w:val="21"/>
              </w:rPr>
              <w:t>ＴＥＬ：</w:t>
            </w:r>
            <w:r w:rsidR="00387E14">
              <w:rPr>
                <w:rFonts w:ascii="ＭＳ Ｐ明朝" w:eastAsia="ＭＳ Ｐ明朝" w:hAnsi="ＭＳ Ｐ明朝" w:cs="Times New Roman" w:hint="eastAsia"/>
                <w:szCs w:val="21"/>
              </w:rPr>
              <w:t>0993-83-3932</w:t>
            </w:r>
          </w:p>
        </w:tc>
      </w:tr>
      <w:tr w:rsidR="003D07BA" w:rsidRPr="00E36677" w14:paraId="4CEC53CF" w14:textId="77777777" w:rsidTr="00890D95">
        <w:tc>
          <w:tcPr>
            <w:tcW w:w="4668" w:type="dxa"/>
            <w:vMerge/>
          </w:tcPr>
          <w:p w14:paraId="1D82AE17" w14:textId="77777777" w:rsidR="003D07BA" w:rsidRPr="00E36677" w:rsidRDefault="003D07BA" w:rsidP="00890D95">
            <w:pPr>
              <w:spacing w:line="0" w:lineRule="atLeast"/>
              <w:ind w:right="945"/>
              <w:textAlignment w:val="center"/>
              <w:rPr>
                <w:rFonts w:ascii="ＭＳ Ｐ明朝" w:eastAsia="ＭＳ Ｐ明朝" w:hAnsi="ＭＳ Ｐ明朝" w:cs="Times New Roman"/>
                <w:szCs w:val="21"/>
              </w:rPr>
            </w:pPr>
          </w:p>
        </w:tc>
        <w:tc>
          <w:tcPr>
            <w:tcW w:w="5264" w:type="dxa"/>
          </w:tcPr>
          <w:p w14:paraId="395D5756" w14:textId="41764E7A" w:rsidR="003D07BA" w:rsidRPr="00E36677" w:rsidRDefault="003D07BA" w:rsidP="00890D95">
            <w:pPr>
              <w:spacing w:line="0" w:lineRule="atLeast"/>
              <w:ind w:firstLineChars="100" w:firstLine="210"/>
              <w:textAlignment w:val="center"/>
              <w:rPr>
                <w:rFonts w:ascii="ＭＳ Ｐ明朝" w:eastAsia="ＭＳ Ｐ明朝" w:hAnsi="ＭＳ Ｐ明朝" w:cs="Times New Roman" w:hint="eastAsia"/>
                <w:szCs w:val="21"/>
              </w:rPr>
            </w:pPr>
            <w:r w:rsidRPr="00E36677">
              <w:rPr>
                <w:rFonts w:ascii="ＭＳ Ｐ明朝" w:eastAsia="ＭＳ Ｐ明朝" w:hAnsi="ＭＳ Ｐ明朝" w:cs="Times New Roman" w:hint="eastAsia"/>
                <w:szCs w:val="21"/>
              </w:rPr>
              <w:t>ＦＡＸ：</w:t>
            </w:r>
            <w:r w:rsidRPr="00E36677">
              <w:rPr>
                <w:rFonts w:ascii="ＭＳ Ｐ明朝" w:eastAsia="ＭＳ Ｐ明朝" w:hAnsi="ＭＳ Ｐ明朝" w:cs="Times New Roman"/>
                <w:szCs w:val="21"/>
              </w:rPr>
              <w:t>099</w:t>
            </w:r>
            <w:r w:rsidR="00387E14">
              <w:rPr>
                <w:rFonts w:ascii="ＭＳ Ｐ明朝" w:eastAsia="ＭＳ Ｐ明朝" w:hAnsi="ＭＳ Ｐ明朝" w:cs="Times New Roman" w:hint="eastAsia"/>
                <w:szCs w:val="21"/>
              </w:rPr>
              <w:t>3-83-3932</w:t>
            </w:r>
          </w:p>
        </w:tc>
      </w:tr>
    </w:tbl>
    <w:p w14:paraId="0B8754D2" w14:textId="54EC8074" w:rsidR="00D94420" w:rsidRPr="00E36677" w:rsidRDefault="00D94420" w:rsidP="003D07BA">
      <w:pPr>
        <w:spacing w:line="0" w:lineRule="atLeast"/>
        <w:rPr>
          <w:rFonts w:ascii="ＭＳ Ｐ明朝" w:eastAsia="ＭＳ Ｐ明朝" w:hAnsi="ＭＳ Ｐ明朝" w:cs="Times New Roman"/>
          <w:szCs w:val="21"/>
        </w:rPr>
      </w:pPr>
    </w:p>
    <w:sectPr w:rsidR="00D94420" w:rsidRPr="00E36677" w:rsidSect="00E36677">
      <w:pgSz w:w="11906" w:h="16838"/>
      <w:pgMar w:top="964" w:right="1080" w:bottom="822"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本文のフォント - コンプレ">
    <w:altName w:val="ＭＳ 明朝"/>
    <w:charset w:val="80"/>
    <w:family w:val="roman"/>
    <w:pitch w:val="default"/>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02356"/>
    <w:multiLevelType w:val="hybridMultilevel"/>
    <w:tmpl w:val="B100E300"/>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2001B9C"/>
    <w:multiLevelType w:val="hybridMultilevel"/>
    <w:tmpl w:val="EC0A00D0"/>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3691EFA"/>
    <w:multiLevelType w:val="hybridMultilevel"/>
    <w:tmpl w:val="44A865C2"/>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4C01FF3"/>
    <w:multiLevelType w:val="hybridMultilevel"/>
    <w:tmpl w:val="B72A63F6"/>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86D2169"/>
    <w:multiLevelType w:val="hybridMultilevel"/>
    <w:tmpl w:val="EB268DB8"/>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4137FB7"/>
    <w:multiLevelType w:val="hybridMultilevel"/>
    <w:tmpl w:val="B454AE2A"/>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612EFE"/>
    <w:multiLevelType w:val="hybridMultilevel"/>
    <w:tmpl w:val="EDF46C06"/>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A2B1EB9"/>
    <w:multiLevelType w:val="hybridMultilevel"/>
    <w:tmpl w:val="A24A9550"/>
    <w:lvl w:ilvl="0" w:tplc="0CC64B8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42083882">
    <w:abstractNumId w:val="4"/>
  </w:num>
  <w:num w:numId="2" w16cid:durableId="332730230">
    <w:abstractNumId w:val="2"/>
  </w:num>
  <w:num w:numId="3" w16cid:durableId="1790779972">
    <w:abstractNumId w:val="3"/>
  </w:num>
  <w:num w:numId="4" w16cid:durableId="540869831">
    <w:abstractNumId w:val="6"/>
  </w:num>
  <w:num w:numId="5" w16cid:durableId="977805684">
    <w:abstractNumId w:val="0"/>
  </w:num>
  <w:num w:numId="6" w16cid:durableId="846866196">
    <w:abstractNumId w:val="5"/>
  </w:num>
  <w:num w:numId="7" w16cid:durableId="1697387417">
    <w:abstractNumId w:val="7"/>
  </w:num>
  <w:num w:numId="8" w16cid:durableId="308899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BA"/>
    <w:rsid w:val="0018360E"/>
    <w:rsid w:val="00387E14"/>
    <w:rsid w:val="003A6231"/>
    <w:rsid w:val="003D07BA"/>
    <w:rsid w:val="0043014E"/>
    <w:rsid w:val="00436D31"/>
    <w:rsid w:val="005574CB"/>
    <w:rsid w:val="00612DBC"/>
    <w:rsid w:val="006A3AF1"/>
    <w:rsid w:val="0075155B"/>
    <w:rsid w:val="008146D0"/>
    <w:rsid w:val="00883A4E"/>
    <w:rsid w:val="00A96F63"/>
    <w:rsid w:val="00AE3265"/>
    <w:rsid w:val="00B05AE2"/>
    <w:rsid w:val="00C36D74"/>
    <w:rsid w:val="00D449AB"/>
    <w:rsid w:val="00D94420"/>
    <w:rsid w:val="00DE0FDC"/>
    <w:rsid w:val="00E36677"/>
    <w:rsid w:val="00EC0D80"/>
    <w:rsid w:val="00F86DEE"/>
    <w:rsid w:val="00FD60BA"/>
    <w:rsid w:val="461D6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CE3903"/>
  <w15:chartTrackingRefBased/>
  <w15:docId w15:val="{22D9A003-F63F-4618-A944-42B25746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7BA"/>
    <w:pPr>
      <w:widowControl w:val="0"/>
      <w:jc w:val="both"/>
    </w:pPr>
    <w:rPr>
      <w:rFonts w:cs="Times New Roman (本文のフォント - コンプレ"/>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231"/>
    <w:pPr>
      <w:ind w:leftChars="400" w:left="840"/>
    </w:pPr>
  </w:style>
  <w:style w:type="paragraph" w:styleId="Web">
    <w:name w:val="Normal (Web)"/>
    <w:basedOn w:val="a"/>
    <w:uiPriority w:val="99"/>
    <w:unhideWhenUsed/>
    <w:rsid w:val="005574C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No Spacing"/>
    <w:uiPriority w:val="1"/>
    <w:qFormat/>
    <w:rsid w:val="0043014E"/>
    <w:pPr>
      <w:widowControl w:val="0"/>
      <w:jc w:val="both"/>
    </w:pPr>
    <w:rPr>
      <w:rFonts w:cs="Times New Roman (本文のフォント - コンプレ"/>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7574">
      <w:bodyDiv w:val="1"/>
      <w:marLeft w:val="0"/>
      <w:marRight w:val="0"/>
      <w:marTop w:val="0"/>
      <w:marBottom w:val="0"/>
      <w:divBdr>
        <w:top w:val="none" w:sz="0" w:space="0" w:color="auto"/>
        <w:left w:val="none" w:sz="0" w:space="0" w:color="auto"/>
        <w:bottom w:val="none" w:sz="0" w:space="0" w:color="auto"/>
        <w:right w:val="none" w:sz="0" w:space="0" w:color="auto"/>
      </w:divBdr>
      <w:divsChild>
        <w:div w:id="88621861">
          <w:marLeft w:val="0"/>
          <w:marRight w:val="0"/>
          <w:marTop w:val="0"/>
          <w:marBottom w:val="0"/>
          <w:divBdr>
            <w:top w:val="none" w:sz="0" w:space="0" w:color="auto"/>
            <w:left w:val="none" w:sz="0" w:space="0" w:color="auto"/>
            <w:bottom w:val="none" w:sz="0" w:space="0" w:color="auto"/>
            <w:right w:val="none" w:sz="0" w:space="0" w:color="auto"/>
          </w:divBdr>
          <w:divsChild>
            <w:div w:id="1329673166">
              <w:marLeft w:val="0"/>
              <w:marRight w:val="0"/>
              <w:marTop w:val="0"/>
              <w:marBottom w:val="0"/>
              <w:divBdr>
                <w:top w:val="none" w:sz="0" w:space="0" w:color="auto"/>
                <w:left w:val="none" w:sz="0" w:space="0" w:color="auto"/>
                <w:bottom w:val="none" w:sz="0" w:space="0" w:color="auto"/>
                <w:right w:val="none" w:sz="0" w:space="0" w:color="auto"/>
              </w:divBdr>
              <w:divsChild>
                <w:div w:id="10925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520">
      <w:bodyDiv w:val="1"/>
      <w:marLeft w:val="0"/>
      <w:marRight w:val="0"/>
      <w:marTop w:val="0"/>
      <w:marBottom w:val="0"/>
      <w:divBdr>
        <w:top w:val="none" w:sz="0" w:space="0" w:color="auto"/>
        <w:left w:val="none" w:sz="0" w:space="0" w:color="auto"/>
        <w:bottom w:val="none" w:sz="0" w:space="0" w:color="auto"/>
        <w:right w:val="none" w:sz="0" w:space="0" w:color="auto"/>
      </w:divBdr>
      <w:divsChild>
        <w:div w:id="981273308">
          <w:marLeft w:val="0"/>
          <w:marRight w:val="0"/>
          <w:marTop w:val="0"/>
          <w:marBottom w:val="0"/>
          <w:divBdr>
            <w:top w:val="none" w:sz="0" w:space="0" w:color="auto"/>
            <w:left w:val="none" w:sz="0" w:space="0" w:color="auto"/>
            <w:bottom w:val="none" w:sz="0" w:space="0" w:color="auto"/>
            <w:right w:val="none" w:sz="0" w:space="0" w:color="auto"/>
          </w:divBdr>
          <w:divsChild>
            <w:div w:id="1063481270">
              <w:marLeft w:val="0"/>
              <w:marRight w:val="0"/>
              <w:marTop w:val="0"/>
              <w:marBottom w:val="0"/>
              <w:divBdr>
                <w:top w:val="none" w:sz="0" w:space="0" w:color="auto"/>
                <w:left w:val="none" w:sz="0" w:space="0" w:color="auto"/>
                <w:bottom w:val="none" w:sz="0" w:space="0" w:color="auto"/>
                <w:right w:val="none" w:sz="0" w:space="0" w:color="auto"/>
              </w:divBdr>
              <w:divsChild>
                <w:div w:id="13828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19148">
      <w:bodyDiv w:val="1"/>
      <w:marLeft w:val="0"/>
      <w:marRight w:val="0"/>
      <w:marTop w:val="0"/>
      <w:marBottom w:val="0"/>
      <w:divBdr>
        <w:top w:val="none" w:sz="0" w:space="0" w:color="auto"/>
        <w:left w:val="none" w:sz="0" w:space="0" w:color="auto"/>
        <w:bottom w:val="none" w:sz="0" w:space="0" w:color="auto"/>
        <w:right w:val="none" w:sz="0" w:space="0" w:color="auto"/>
      </w:divBdr>
      <w:divsChild>
        <w:div w:id="1040132959">
          <w:marLeft w:val="0"/>
          <w:marRight w:val="0"/>
          <w:marTop w:val="0"/>
          <w:marBottom w:val="0"/>
          <w:divBdr>
            <w:top w:val="none" w:sz="0" w:space="0" w:color="auto"/>
            <w:left w:val="none" w:sz="0" w:space="0" w:color="auto"/>
            <w:bottom w:val="none" w:sz="0" w:space="0" w:color="auto"/>
            <w:right w:val="none" w:sz="0" w:space="0" w:color="auto"/>
          </w:divBdr>
          <w:divsChild>
            <w:div w:id="1398699568">
              <w:marLeft w:val="0"/>
              <w:marRight w:val="0"/>
              <w:marTop w:val="0"/>
              <w:marBottom w:val="0"/>
              <w:divBdr>
                <w:top w:val="none" w:sz="0" w:space="0" w:color="auto"/>
                <w:left w:val="none" w:sz="0" w:space="0" w:color="auto"/>
                <w:bottom w:val="none" w:sz="0" w:space="0" w:color="auto"/>
                <w:right w:val="none" w:sz="0" w:space="0" w:color="auto"/>
              </w:divBdr>
              <w:divsChild>
                <w:div w:id="16021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56038">
      <w:bodyDiv w:val="1"/>
      <w:marLeft w:val="0"/>
      <w:marRight w:val="0"/>
      <w:marTop w:val="0"/>
      <w:marBottom w:val="0"/>
      <w:divBdr>
        <w:top w:val="none" w:sz="0" w:space="0" w:color="auto"/>
        <w:left w:val="none" w:sz="0" w:space="0" w:color="auto"/>
        <w:bottom w:val="none" w:sz="0" w:space="0" w:color="auto"/>
        <w:right w:val="none" w:sz="0" w:space="0" w:color="auto"/>
      </w:divBdr>
      <w:divsChild>
        <w:div w:id="16853552">
          <w:marLeft w:val="0"/>
          <w:marRight w:val="0"/>
          <w:marTop w:val="0"/>
          <w:marBottom w:val="0"/>
          <w:divBdr>
            <w:top w:val="none" w:sz="0" w:space="0" w:color="auto"/>
            <w:left w:val="none" w:sz="0" w:space="0" w:color="auto"/>
            <w:bottom w:val="none" w:sz="0" w:space="0" w:color="auto"/>
            <w:right w:val="none" w:sz="0" w:space="0" w:color="auto"/>
          </w:divBdr>
          <w:divsChild>
            <w:div w:id="1915191235">
              <w:marLeft w:val="0"/>
              <w:marRight w:val="0"/>
              <w:marTop w:val="0"/>
              <w:marBottom w:val="0"/>
              <w:divBdr>
                <w:top w:val="none" w:sz="0" w:space="0" w:color="auto"/>
                <w:left w:val="none" w:sz="0" w:space="0" w:color="auto"/>
                <w:bottom w:val="none" w:sz="0" w:space="0" w:color="auto"/>
                <w:right w:val="none" w:sz="0" w:space="0" w:color="auto"/>
              </w:divBdr>
              <w:divsChild>
                <w:div w:id="5912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末永 雄大</dc:creator>
  <cp:keywords/>
  <dc:description/>
  <cp:lastModifiedBy>Admin</cp:lastModifiedBy>
  <cp:revision>2</cp:revision>
  <dcterms:created xsi:type="dcterms:W3CDTF">2025-05-19T04:01:00Z</dcterms:created>
  <dcterms:modified xsi:type="dcterms:W3CDTF">2025-05-19T04:01:00Z</dcterms:modified>
</cp:coreProperties>
</file>